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0686" w14:textId="476ACA2A" w:rsidR="0085578C" w:rsidRPr="00CD1A82" w:rsidRDefault="0085578C" w:rsidP="0085578C">
      <w:pPr>
        <w:jc w:val="both"/>
        <w:rPr>
          <w:lang w:val="hr-HR"/>
        </w:rPr>
      </w:pPr>
      <w:r w:rsidRPr="00CD1A82">
        <w:rPr>
          <w:lang w:val="hr-HR"/>
        </w:rPr>
        <w:t xml:space="preserve">Nakon obrađenih svih zahtjeva za kupnju garažnih mjesta u vlasništvu Republike Hrvatske kojima upravlja Ministarstvo hrvatskih branitelja zaprimljenih na temelju objavljenog Javnog poziva za prikupljanje zahtjeva za kupnju garažno parkirnih mjesta na lokaciji Dubrovnik, Nova Mokošica, Od izvora 67, 69, 71 i 73, od </w:t>
      </w:r>
      <w:r w:rsidR="00A765E9">
        <w:rPr>
          <w:lang w:val="hr-HR"/>
        </w:rPr>
        <w:t>24</w:t>
      </w:r>
      <w:r w:rsidRPr="00CD1A82">
        <w:rPr>
          <w:lang w:val="hr-HR"/>
        </w:rPr>
        <w:t xml:space="preserve">. </w:t>
      </w:r>
      <w:r w:rsidR="00A765E9">
        <w:rPr>
          <w:lang w:val="hr-HR"/>
        </w:rPr>
        <w:t>srpnja</w:t>
      </w:r>
      <w:r w:rsidRPr="00CD1A82">
        <w:rPr>
          <w:lang w:val="hr-HR"/>
        </w:rPr>
        <w:t xml:space="preserve"> 202</w:t>
      </w:r>
      <w:r w:rsidR="00A765E9">
        <w:rPr>
          <w:lang w:val="hr-HR"/>
        </w:rPr>
        <w:t>6</w:t>
      </w:r>
      <w:r w:rsidRPr="00CD1A82">
        <w:rPr>
          <w:lang w:val="hr-HR"/>
        </w:rPr>
        <w:t>. godine, a sukladno članku 3. Odluke o prodaji garažnih mjesta u vlasništvu Republike Hrvatske kojima upravlja Ministarstvo hrvatskih branitelja</w:t>
      </w:r>
      <w:r w:rsidR="00562D3F" w:rsidRPr="00CD1A82">
        <w:rPr>
          <w:lang w:val="hr-HR"/>
        </w:rPr>
        <w:t xml:space="preserve">, </w:t>
      </w:r>
      <w:r w:rsidRPr="00CD1A82">
        <w:rPr>
          <w:lang w:val="hr-HR"/>
        </w:rPr>
        <w:t>APN objavljuje:</w:t>
      </w:r>
    </w:p>
    <w:p w14:paraId="35DD3BF0" w14:textId="77777777" w:rsidR="00562D3F" w:rsidRDefault="00562D3F" w:rsidP="0085578C">
      <w:pPr>
        <w:jc w:val="both"/>
        <w:rPr>
          <w:rFonts w:ascii="Arial" w:hAnsi="Arial" w:cs="Arial"/>
          <w:b/>
          <w:bCs/>
          <w:sz w:val="20"/>
          <w:szCs w:val="20"/>
          <w:lang w:val="hr-HR"/>
        </w:rPr>
      </w:pPr>
    </w:p>
    <w:p w14:paraId="3A5E768C" w14:textId="77777777" w:rsidR="00EC3B5A" w:rsidRPr="00CD1A82" w:rsidRDefault="00EC3B5A" w:rsidP="0085578C">
      <w:pPr>
        <w:jc w:val="both"/>
        <w:rPr>
          <w:rFonts w:ascii="Arial" w:hAnsi="Arial" w:cs="Arial"/>
          <w:b/>
          <w:bCs/>
          <w:sz w:val="20"/>
          <w:szCs w:val="20"/>
          <w:lang w:val="hr-HR"/>
        </w:rPr>
      </w:pPr>
    </w:p>
    <w:p w14:paraId="36D51A3D" w14:textId="13574445" w:rsidR="00D849AA" w:rsidRPr="007B2D8D" w:rsidRDefault="00D849AA" w:rsidP="0085578C">
      <w:pPr>
        <w:jc w:val="both"/>
        <w:rPr>
          <w:b/>
          <w:bCs/>
          <w:lang w:val="hr-HR"/>
        </w:rPr>
      </w:pPr>
      <w:r w:rsidRPr="007B2D8D">
        <w:rPr>
          <w:b/>
          <w:bCs/>
          <w:lang w:val="hr-HR"/>
        </w:rPr>
        <w:t xml:space="preserve">Povjerenstvo </w:t>
      </w:r>
      <w:r w:rsidR="0085578C" w:rsidRPr="007B2D8D">
        <w:rPr>
          <w:b/>
          <w:bCs/>
          <w:lang w:val="hr-HR"/>
        </w:rPr>
        <w:t xml:space="preserve">APN-a </w:t>
      </w:r>
      <w:r w:rsidRPr="007B2D8D">
        <w:rPr>
          <w:b/>
          <w:bCs/>
          <w:lang w:val="hr-HR"/>
        </w:rPr>
        <w:t xml:space="preserve">je nakon otvaranja svih </w:t>
      </w:r>
      <w:r w:rsidR="00562D3F" w:rsidRPr="007B2D8D">
        <w:rPr>
          <w:b/>
          <w:bCs/>
          <w:lang w:val="hr-HR"/>
        </w:rPr>
        <w:t xml:space="preserve">u roku zaprimljenih </w:t>
      </w:r>
      <w:r w:rsidRPr="007B2D8D">
        <w:rPr>
          <w:b/>
          <w:bCs/>
          <w:lang w:val="hr-HR"/>
        </w:rPr>
        <w:t xml:space="preserve">ponuda dostavljalo </w:t>
      </w:r>
      <w:r w:rsidR="0085578C" w:rsidRPr="007B2D8D">
        <w:rPr>
          <w:b/>
          <w:bCs/>
          <w:lang w:val="hr-HR"/>
        </w:rPr>
        <w:t>podnositeljima zahtjeva za kupnju</w:t>
      </w:r>
      <w:r w:rsidRPr="007B2D8D">
        <w:rPr>
          <w:b/>
          <w:bCs/>
          <w:lang w:val="hr-HR"/>
        </w:rPr>
        <w:t xml:space="preserve"> pozive za odabir garažnih mjesta prema redoslijedu prvenstva.</w:t>
      </w:r>
    </w:p>
    <w:p w14:paraId="285C58B3" w14:textId="35635E47" w:rsidR="00D849AA" w:rsidRPr="007B2D8D" w:rsidRDefault="00D849AA" w:rsidP="0085578C">
      <w:pPr>
        <w:jc w:val="both"/>
        <w:rPr>
          <w:b/>
          <w:bCs/>
          <w:lang w:val="hr-HR"/>
        </w:rPr>
      </w:pPr>
      <w:r w:rsidRPr="007B2D8D">
        <w:rPr>
          <w:b/>
          <w:bCs/>
          <w:lang w:val="hr-HR"/>
        </w:rPr>
        <w:t xml:space="preserve">Nakon odabira garažnih mjesta od strane ponuditelja, Povjerenstvo je donijelo prijedlog za sklapanje ugovora o kupoprodaji </w:t>
      </w:r>
      <w:r w:rsidR="0085578C" w:rsidRPr="007B2D8D">
        <w:rPr>
          <w:b/>
          <w:bCs/>
          <w:lang w:val="hr-HR"/>
        </w:rPr>
        <w:t>za slijedeće iznose kupoprodajne cijene</w:t>
      </w:r>
      <w:r w:rsidRPr="007B2D8D">
        <w:rPr>
          <w:b/>
          <w:bCs/>
          <w:lang w:val="hr-HR"/>
        </w:rPr>
        <w:t>:</w:t>
      </w:r>
    </w:p>
    <w:p w14:paraId="79C389E4" w14:textId="77777777" w:rsidR="00D849AA" w:rsidRPr="00CD1A82" w:rsidRDefault="00D849AA" w:rsidP="00D849AA">
      <w:pPr>
        <w:jc w:val="both"/>
        <w:rPr>
          <w:rFonts w:ascii="Arial" w:hAnsi="Arial" w:cs="Arial"/>
          <w:b/>
          <w:bCs/>
          <w:sz w:val="18"/>
          <w:szCs w:val="18"/>
          <w:lang w:val="hr-HR"/>
        </w:rPr>
      </w:pPr>
    </w:p>
    <w:tbl>
      <w:tblPr>
        <w:tblW w:w="8921" w:type="dxa"/>
        <w:tblLook w:val="04A0" w:firstRow="1" w:lastRow="0" w:firstColumn="1" w:lastColumn="0" w:noHBand="0" w:noVBand="1"/>
      </w:tblPr>
      <w:tblGrid>
        <w:gridCol w:w="925"/>
        <w:gridCol w:w="2736"/>
        <w:gridCol w:w="1894"/>
        <w:gridCol w:w="1394"/>
        <w:gridCol w:w="1972"/>
      </w:tblGrid>
      <w:tr w:rsidR="00C965BA" w14:paraId="6C4DC457" w14:textId="77777777" w:rsidTr="00C965BA">
        <w:trPr>
          <w:trHeight w:val="826"/>
        </w:trPr>
        <w:tc>
          <w:tcPr>
            <w:tcW w:w="925" w:type="dxa"/>
            <w:tcBorders>
              <w:top w:val="single" w:sz="8" w:space="0" w:color="auto"/>
              <w:left w:val="single" w:sz="8" w:space="0" w:color="auto"/>
              <w:bottom w:val="nil"/>
              <w:right w:val="single" w:sz="8" w:space="0" w:color="auto"/>
            </w:tcBorders>
            <w:shd w:val="clear" w:color="000000" w:fill="4D93D9"/>
            <w:vAlign w:val="center"/>
            <w:hideMark/>
          </w:tcPr>
          <w:p w14:paraId="3AFA7ECF" w14:textId="77777777" w:rsidR="00C965BA" w:rsidRDefault="00C965BA">
            <w:pPr>
              <w:jc w:val="center"/>
              <w:rPr>
                <w:b/>
                <w:bCs/>
                <w:color w:val="000000"/>
                <w:sz w:val="22"/>
                <w:szCs w:val="22"/>
                <w:lang w:val="hr-HR"/>
              </w:rPr>
            </w:pPr>
            <w:r>
              <w:rPr>
                <w:b/>
                <w:bCs/>
                <w:color w:val="000000"/>
                <w:sz w:val="22"/>
                <w:szCs w:val="22"/>
              </w:rPr>
              <w:t>REDNI BROJ</w:t>
            </w:r>
          </w:p>
        </w:tc>
        <w:tc>
          <w:tcPr>
            <w:tcW w:w="2736" w:type="dxa"/>
            <w:tcBorders>
              <w:top w:val="single" w:sz="8" w:space="0" w:color="auto"/>
              <w:left w:val="nil"/>
              <w:bottom w:val="nil"/>
              <w:right w:val="single" w:sz="8" w:space="0" w:color="auto"/>
            </w:tcBorders>
            <w:shd w:val="clear" w:color="000000" w:fill="4D93D9"/>
            <w:vAlign w:val="center"/>
            <w:hideMark/>
          </w:tcPr>
          <w:p w14:paraId="36DF9F0B" w14:textId="77777777" w:rsidR="00C965BA" w:rsidRDefault="00C965BA">
            <w:pPr>
              <w:jc w:val="center"/>
              <w:rPr>
                <w:b/>
                <w:bCs/>
                <w:color w:val="000000"/>
                <w:sz w:val="20"/>
                <w:szCs w:val="20"/>
              </w:rPr>
            </w:pPr>
            <w:r>
              <w:rPr>
                <w:b/>
                <w:bCs/>
                <w:color w:val="000000"/>
                <w:sz w:val="20"/>
                <w:szCs w:val="20"/>
              </w:rPr>
              <w:t>OZNAKA NEKRETNINE</w:t>
            </w:r>
          </w:p>
        </w:tc>
        <w:tc>
          <w:tcPr>
            <w:tcW w:w="1894" w:type="dxa"/>
            <w:tcBorders>
              <w:top w:val="single" w:sz="8" w:space="0" w:color="auto"/>
              <w:left w:val="nil"/>
              <w:bottom w:val="nil"/>
              <w:right w:val="single" w:sz="8" w:space="0" w:color="auto"/>
            </w:tcBorders>
            <w:shd w:val="clear" w:color="000000" w:fill="4D93D9"/>
            <w:vAlign w:val="center"/>
            <w:hideMark/>
          </w:tcPr>
          <w:p w14:paraId="3BE54CA7" w14:textId="77777777" w:rsidR="00C965BA" w:rsidRPr="00C965BA" w:rsidRDefault="00C965BA">
            <w:pPr>
              <w:jc w:val="center"/>
              <w:rPr>
                <w:b/>
                <w:bCs/>
                <w:color w:val="000000"/>
                <w:sz w:val="20"/>
                <w:szCs w:val="20"/>
                <w:lang w:val="pl-PL"/>
              </w:rPr>
            </w:pPr>
            <w:r w:rsidRPr="00C965BA">
              <w:rPr>
                <w:b/>
                <w:bCs/>
                <w:color w:val="000000"/>
                <w:sz w:val="20"/>
                <w:szCs w:val="20"/>
                <w:lang w:val="pl-PL"/>
              </w:rPr>
              <w:t>POČETNA KUPOPRODAJNA CIJENA NEKRETNINE (EUR)</w:t>
            </w:r>
          </w:p>
        </w:tc>
        <w:tc>
          <w:tcPr>
            <w:tcW w:w="1394" w:type="dxa"/>
            <w:tcBorders>
              <w:top w:val="single" w:sz="8" w:space="0" w:color="auto"/>
              <w:left w:val="nil"/>
              <w:bottom w:val="nil"/>
              <w:right w:val="single" w:sz="8" w:space="0" w:color="auto"/>
            </w:tcBorders>
            <w:shd w:val="clear" w:color="000000" w:fill="4D93D9"/>
            <w:vAlign w:val="center"/>
            <w:hideMark/>
          </w:tcPr>
          <w:p w14:paraId="66BA6C78" w14:textId="77777777" w:rsidR="00C965BA" w:rsidRDefault="00C965BA">
            <w:pPr>
              <w:jc w:val="center"/>
              <w:rPr>
                <w:b/>
                <w:bCs/>
                <w:color w:val="000000"/>
                <w:sz w:val="22"/>
                <w:szCs w:val="22"/>
              </w:rPr>
            </w:pPr>
            <w:r>
              <w:rPr>
                <w:b/>
                <w:bCs/>
                <w:color w:val="000000"/>
                <w:sz w:val="22"/>
                <w:szCs w:val="22"/>
              </w:rPr>
              <w:t>IZNOS PONUDE (EUR)</w:t>
            </w:r>
          </w:p>
        </w:tc>
        <w:tc>
          <w:tcPr>
            <w:tcW w:w="1972" w:type="dxa"/>
            <w:tcBorders>
              <w:top w:val="single" w:sz="8" w:space="0" w:color="auto"/>
              <w:left w:val="nil"/>
              <w:bottom w:val="nil"/>
              <w:right w:val="single" w:sz="8" w:space="0" w:color="auto"/>
            </w:tcBorders>
            <w:shd w:val="clear" w:color="000000" w:fill="4D93D9"/>
            <w:vAlign w:val="center"/>
            <w:hideMark/>
          </w:tcPr>
          <w:p w14:paraId="18E03494" w14:textId="77777777" w:rsidR="00C965BA" w:rsidRDefault="00C965BA">
            <w:pPr>
              <w:jc w:val="center"/>
              <w:rPr>
                <w:b/>
                <w:bCs/>
                <w:color w:val="000000"/>
                <w:sz w:val="22"/>
                <w:szCs w:val="22"/>
              </w:rPr>
            </w:pPr>
            <w:r>
              <w:rPr>
                <w:b/>
                <w:bCs/>
                <w:color w:val="000000"/>
                <w:sz w:val="22"/>
                <w:szCs w:val="22"/>
              </w:rPr>
              <w:t>PONUDITELJ</w:t>
            </w:r>
          </w:p>
        </w:tc>
      </w:tr>
      <w:tr w:rsidR="00C965BA" w14:paraId="0ABF126E" w14:textId="77777777" w:rsidTr="00C965BA">
        <w:trPr>
          <w:trHeight w:val="983"/>
        </w:trPr>
        <w:tc>
          <w:tcPr>
            <w:tcW w:w="925" w:type="dxa"/>
            <w:tcBorders>
              <w:top w:val="single" w:sz="4" w:space="0" w:color="auto"/>
              <w:left w:val="single" w:sz="4" w:space="0" w:color="auto"/>
              <w:bottom w:val="single" w:sz="4" w:space="0" w:color="auto"/>
              <w:right w:val="single" w:sz="4" w:space="0" w:color="auto"/>
            </w:tcBorders>
            <w:shd w:val="clear" w:color="000000" w:fill="DAE9F8"/>
            <w:vAlign w:val="center"/>
            <w:hideMark/>
          </w:tcPr>
          <w:p w14:paraId="7E722EBE" w14:textId="77777777" w:rsidR="00C965BA" w:rsidRDefault="00C965BA">
            <w:pPr>
              <w:jc w:val="center"/>
              <w:rPr>
                <w:sz w:val="22"/>
                <w:szCs w:val="22"/>
              </w:rPr>
            </w:pPr>
            <w:r>
              <w:rPr>
                <w:sz w:val="22"/>
                <w:szCs w:val="22"/>
              </w:rPr>
              <w:t>1.</w:t>
            </w:r>
          </w:p>
        </w:tc>
        <w:tc>
          <w:tcPr>
            <w:tcW w:w="2736" w:type="dxa"/>
            <w:tcBorders>
              <w:top w:val="single" w:sz="4" w:space="0" w:color="auto"/>
              <w:left w:val="nil"/>
              <w:bottom w:val="single" w:sz="4" w:space="0" w:color="auto"/>
              <w:right w:val="single" w:sz="4" w:space="0" w:color="auto"/>
            </w:tcBorders>
            <w:shd w:val="clear" w:color="000000" w:fill="DAE9F8"/>
            <w:vAlign w:val="center"/>
            <w:hideMark/>
          </w:tcPr>
          <w:p w14:paraId="7D783A03" w14:textId="77777777" w:rsidR="00C965BA" w:rsidRPr="00C965BA" w:rsidRDefault="00C965BA">
            <w:pPr>
              <w:jc w:val="center"/>
              <w:rPr>
                <w:sz w:val="22"/>
                <w:szCs w:val="22"/>
                <w:lang w:val="pl-PL"/>
              </w:rPr>
            </w:pPr>
            <w:r w:rsidRPr="00C965BA">
              <w:rPr>
                <w:sz w:val="22"/>
                <w:szCs w:val="22"/>
                <w:lang w:val="pl-PL"/>
              </w:rPr>
              <w:t>kč. br. 1021/31, zk. ul. 1006, oznaka garažnog mjesta 67, etaža - 2(E-73)</w:t>
            </w:r>
          </w:p>
        </w:tc>
        <w:tc>
          <w:tcPr>
            <w:tcW w:w="1894" w:type="dxa"/>
            <w:tcBorders>
              <w:top w:val="single" w:sz="4" w:space="0" w:color="auto"/>
              <w:left w:val="nil"/>
              <w:bottom w:val="single" w:sz="4" w:space="0" w:color="auto"/>
              <w:right w:val="single" w:sz="4" w:space="0" w:color="auto"/>
            </w:tcBorders>
            <w:shd w:val="clear" w:color="000000" w:fill="DAE9F8"/>
            <w:vAlign w:val="center"/>
            <w:hideMark/>
          </w:tcPr>
          <w:p w14:paraId="08568333" w14:textId="77777777" w:rsidR="00C965BA" w:rsidRDefault="00C965BA">
            <w:pPr>
              <w:jc w:val="center"/>
              <w:rPr>
                <w:sz w:val="22"/>
                <w:szCs w:val="22"/>
              </w:rPr>
            </w:pPr>
            <w:r>
              <w:rPr>
                <w:sz w:val="22"/>
                <w:szCs w:val="22"/>
              </w:rPr>
              <w:t>2.486,52</w:t>
            </w:r>
          </w:p>
        </w:tc>
        <w:tc>
          <w:tcPr>
            <w:tcW w:w="1394" w:type="dxa"/>
            <w:tcBorders>
              <w:top w:val="single" w:sz="4" w:space="0" w:color="auto"/>
              <w:left w:val="nil"/>
              <w:bottom w:val="single" w:sz="4" w:space="0" w:color="auto"/>
              <w:right w:val="single" w:sz="4" w:space="0" w:color="auto"/>
            </w:tcBorders>
            <w:shd w:val="clear" w:color="000000" w:fill="DAE9F8"/>
            <w:vAlign w:val="center"/>
            <w:hideMark/>
          </w:tcPr>
          <w:p w14:paraId="79F3E39C" w14:textId="77777777" w:rsidR="00C965BA" w:rsidRDefault="00C965BA">
            <w:pPr>
              <w:jc w:val="center"/>
              <w:rPr>
                <w:sz w:val="22"/>
                <w:szCs w:val="22"/>
              </w:rPr>
            </w:pPr>
            <w:r>
              <w:rPr>
                <w:sz w:val="22"/>
                <w:szCs w:val="22"/>
              </w:rPr>
              <w:t>8.010,00</w:t>
            </w:r>
          </w:p>
        </w:tc>
        <w:tc>
          <w:tcPr>
            <w:tcW w:w="1972" w:type="dxa"/>
            <w:tcBorders>
              <w:top w:val="single" w:sz="4" w:space="0" w:color="auto"/>
              <w:left w:val="nil"/>
              <w:bottom w:val="single" w:sz="4" w:space="0" w:color="auto"/>
              <w:right w:val="single" w:sz="4" w:space="0" w:color="auto"/>
            </w:tcBorders>
            <w:shd w:val="clear" w:color="000000" w:fill="DAE9F8"/>
            <w:vAlign w:val="center"/>
            <w:hideMark/>
          </w:tcPr>
          <w:p w14:paraId="1C6FDEB2" w14:textId="77777777" w:rsidR="00C965BA" w:rsidRDefault="00C965BA">
            <w:pPr>
              <w:jc w:val="center"/>
              <w:rPr>
                <w:sz w:val="22"/>
                <w:szCs w:val="22"/>
              </w:rPr>
            </w:pPr>
            <w:r>
              <w:rPr>
                <w:sz w:val="22"/>
                <w:szCs w:val="22"/>
              </w:rPr>
              <w:t xml:space="preserve"> Anđelko Bogdanović</w:t>
            </w:r>
          </w:p>
        </w:tc>
      </w:tr>
      <w:tr w:rsidR="00C965BA" w14:paraId="2776FB18" w14:textId="77777777" w:rsidTr="00C965BA">
        <w:trPr>
          <w:trHeight w:val="972"/>
        </w:trPr>
        <w:tc>
          <w:tcPr>
            <w:tcW w:w="925" w:type="dxa"/>
            <w:tcBorders>
              <w:top w:val="nil"/>
              <w:left w:val="single" w:sz="4" w:space="0" w:color="auto"/>
              <w:bottom w:val="single" w:sz="4" w:space="0" w:color="auto"/>
              <w:right w:val="single" w:sz="4" w:space="0" w:color="auto"/>
            </w:tcBorders>
            <w:shd w:val="clear" w:color="000000" w:fill="FFFFFF"/>
            <w:vAlign w:val="center"/>
            <w:hideMark/>
          </w:tcPr>
          <w:p w14:paraId="5F32CF8A" w14:textId="77777777" w:rsidR="00C965BA" w:rsidRDefault="00C965BA">
            <w:pPr>
              <w:jc w:val="center"/>
              <w:rPr>
                <w:color w:val="000000"/>
                <w:sz w:val="22"/>
                <w:szCs w:val="22"/>
              </w:rPr>
            </w:pPr>
            <w:r>
              <w:rPr>
                <w:color w:val="000000"/>
                <w:sz w:val="22"/>
                <w:szCs w:val="22"/>
              </w:rPr>
              <w:t>2.</w:t>
            </w:r>
          </w:p>
        </w:tc>
        <w:tc>
          <w:tcPr>
            <w:tcW w:w="2736" w:type="dxa"/>
            <w:tcBorders>
              <w:top w:val="nil"/>
              <w:left w:val="nil"/>
              <w:bottom w:val="single" w:sz="4" w:space="0" w:color="auto"/>
              <w:right w:val="single" w:sz="4" w:space="0" w:color="auto"/>
            </w:tcBorders>
            <w:shd w:val="clear" w:color="000000" w:fill="FFFFFF"/>
            <w:vAlign w:val="center"/>
            <w:hideMark/>
          </w:tcPr>
          <w:p w14:paraId="3B50C935" w14:textId="77777777" w:rsidR="00C965BA" w:rsidRPr="00C965BA" w:rsidRDefault="00C965BA">
            <w:pPr>
              <w:jc w:val="center"/>
              <w:rPr>
                <w:color w:val="000000"/>
                <w:sz w:val="22"/>
                <w:szCs w:val="22"/>
                <w:lang w:val="pl-PL"/>
              </w:rPr>
            </w:pPr>
            <w:r w:rsidRPr="00C965BA">
              <w:rPr>
                <w:color w:val="000000"/>
                <w:sz w:val="22"/>
                <w:szCs w:val="22"/>
                <w:lang w:val="pl-PL"/>
              </w:rPr>
              <w:t>kč.br. 614/18, zk. ul. 1007, oznaka garažnog mjesta 28, etaža - 1(E-57)</w:t>
            </w:r>
          </w:p>
        </w:tc>
        <w:tc>
          <w:tcPr>
            <w:tcW w:w="1894" w:type="dxa"/>
            <w:tcBorders>
              <w:top w:val="nil"/>
              <w:left w:val="nil"/>
              <w:bottom w:val="single" w:sz="4" w:space="0" w:color="auto"/>
              <w:right w:val="single" w:sz="4" w:space="0" w:color="auto"/>
            </w:tcBorders>
            <w:shd w:val="clear" w:color="000000" w:fill="FFFFFF"/>
            <w:vAlign w:val="center"/>
            <w:hideMark/>
          </w:tcPr>
          <w:p w14:paraId="2543DB8F" w14:textId="77777777" w:rsidR="00C965BA" w:rsidRDefault="00C965BA">
            <w:pPr>
              <w:jc w:val="center"/>
              <w:rPr>
                <w:color w:val="000000"/>
                <w:sz w:val="22"/>
                <w:szCs w:val="22"/>
              </w:rPr>
            </w:pPr>
            <w:r>
              <w:rPr>
                <w:color w:val="000000"/>
                <w:sz w:val="22"/>
                <w:szCs w:val="22"/>
              </w:rPr>
              <w:t>2.486,52</w:t>
            </w:r>
          </w:p>
        </w:tc>
        <w:tc>
          <w:tcPr>
            <w:tcW w:w="1394" w:type="dxa"/>
            <w:tcBorders>
              <w:top w:val="nil"/>
              <w:left w:val="nil"/>
              <w:bottom w:val="single" w:sz="4" w:space="0" w:color="auto"/>
              <w:right w:val="single" w:sz="4" w:space="0" w:color="auto"/>
            </w:tcBorders>
            <w:shd w:val="clear" w:color="000000" w:fill="FFFFFF"/>
            <w:vAlign w:val="center"/>
            <w:hideMark/>
          </w:tcPr>
          <w:p w14:paraId="374AC69B" w14:textId="77777777" w:rsidR="00C965BA" w:rsidRDefault="00C965BA">
            <w:pPr>
              <w:jc w:val="center"/>
              <w:rPr>
                <w:color w:val="000000"/>
                <w:sz w:val="22"/>
                <w:szCs w:val="22"/>
              </w:rPr>
            </w:pPr>
            <w:r>
              <w:rPr>
                <w:color w:val="000000"/>
                <w:sz w:val="22"/>
                <w:szCs w:val="22"/>
              </w:rPr>
              <w:t>4.110,00</w:t>
            </w:r>
          </w:p>
        </w:tc>
        <w:tc>
          <w:tcPr>
            <w:tcW w:w="1972" w:type="dxa"/>
            <w:tcBorders>
              <w:top w:val="nil"/>
              <w:left w:val="nil"/>
              <w:bottom w:val="single" w:sz="4" w:space="0" w:color="auto"/>
              <w:right w:val="single" w:sz="4" w:space="0" w:color="auto"/>
            </w:tcBorders>
            <w:shd w:val="clear" w:color="000000" w:fill="FFFFFF"/>
            <w:vAlign w:val="center"/>
            <w:hideMark/>
          </w:tcPr>
          <w:p w14:paraId="4AB1F0FD" w14:textId="77777777" w:rsidR="00C965BA" w:rsidRDefault="00C965BA">
            <w:pPr>
              <w:jc w:val="center"/>
              <w:rPr>
                <w:color w:val="000000"/>
                <w:sz w:val="22"/>
                <w:szCs w:val="22"/>
              </w:rPr>
            </w:pPr>
            <w:r>
              <w:rPr>
                <w:color w:val="000000"/>
                <w:sz w:val="22"/>
                <w:szCs w:val="22"/>
              </w:rPr>
              <w:t>Mladen Mikulić</w:t>
            </w:r>
          </w:p>
        </w:tc>
      </w:tr>
      <w:tr w:rsidR="00C965BA" w14:paraId="49BB38EA" w14:textId="77777777" w:rsidTr="00C965BA">
        <w:trPr>
          <w:trHeight w:val="947"/>
        </w:trPr>
        <w:tc>
          <w:tcPr>
            <w:tcW w:w="925" w:type="dxa"/>
            <w:tcBorders>
              <w:top w:val="nil"/>
              <w:left w:val="single" w:sz="4" w:space="0" w:color="auto"/>
              <w:bottom w:val="single" w:sz="4" w:space="0" w:color="auto"/>
              <w:right w:val="single" w:sz="4" w:space="0" w:color="auto"/>
            </w:tcBorders>
            <w:shd w:val="clear" w:color="000000" w:fill="DAE9F8"/>
            <w:vAlign w:val="center"/>
            <w:hideMark/>
          </w:tcPr>
          <w:p w14:paraId="1A8B91C0" w14:textId="77777777" w:rsidR="00C965BA" w:rsidRDefault="00C965BA">
            <w:pPr>
              <w:jc w:val="center"/>
              <w:rPr>
                <w:color w:val="000000"/>
                <w:sz w:val="22"/>
                <w:szCs w:val="22"/>
              </w:rPr>
            </w:pPr>
            <w:r>
              <w:rPr>
                <w:color w:val="000000"/>
                <w:sz w:val="22"/>
                <w:szCs w:val="22"/>
              </w:rPr>
              <w:t>3.</w:t>
            </w:r>
          </w:p>
        </w:tc>
        <w:tc>
          <w:tcPr>
            <w:tcW w:w="2736" w:type="dxa"/>
            <w:tcBorders>
              <w:top w:val="nil"/>
              <w:left w:val="nil"/>
              <w:bottom w:val="single" w:sz="4" w:space="0" w:color="auto"/>
              <w:right w:val="single" w:sz="4" w:space="0" w:color="auto"/>
            </w:tcBorders>
            <w:shd w:val="clear" w:color="000000" w:fill="DAE9F8"/>
            <w:vAlign w:val="center"/>
            <w:hideMark/>
          </w:tcPr>
          <w:p w14:paraId="776337E8" w14:textId="77777777" w:rsidR="00C965BA" w:rsidRPr="00C965BA" w:rsidRDefault="00C965BA">
            <w:pPr>
              <w:jc w:val="center"/>
              <w:rPr>
                <w:color w:val="000000"/>
                <w:sz w:val="22"/>
                <w:szCs w:val="22"/>
                <w:lang w:val="pl-PL"/>
              </w:rPr>
            </w:pPr>
            <w:r w:rsidRPr="00C965BA">
              <w:rPr>
                <w:color w:val="000000"/>
                <w:sz w:val="22"/>
                <w:szCs w:val="22"/>
                <w:lang w:val="pl-PL"/>
              </w:rPr>
              <w:t xml:space="preserve"> kč.br.  614/18, zk. ul. 1007, oznaka garažnog mjesta 66, etaža - 2(E-65)</w:t>
            </w:r>
          </w:p>
        </w:tc>
        <w:tc>
          <w:tcPr>
            <w:tcW w:w="1894" w:type="dxa"/>
            <w:tcBorders>
              <w:top w:val="nil"/>
              <w:left w:val="nil"/>
              <w:bottom w:val="single" w:sz="4" w:space="0" w:color="auto"/>
              <w:right w:val="single" w:sz="4" w:space="0" w:color="auto"/>
            </w:tcBorders>
            <w:shd w:val="clear" w:color="000000" w:fill="DAE9F8"/>
            <w:vAlign w:val="center"/>
            <w:hideMark/>
          </w:tcPr>
          <w:p w14:paraId="3464B239" w14:textId="77777777" w:rsidR="00C965BA" w:rsidRDefault="00C965BA">
            <w:pPr>
              <w:jc w:val="center"/>
              <w:rPr>
                <w:color w:val="000000"/>
                <w:sz w:val="22"/>
                <w:szCs w:val="22"/>
              </w:rPr>
            </w:pPr>
            <w:r>
              <w:rPr>
                <w:color w:val="000000"/>
                <w:sz w:val="22"/>
                <w:szCs w:val="22"/>
              </w:rPr>
              <w:t>2.486,52</w:t>
            </w:r>
          </w:p>
        </w:tc>
        <w:tc>
          <w:tcPr>
            <w:tcW w:w="1394" w:type="dxa"/>
            <w:tcBorders>
              <w:top w:val="nil"/>
              <w:left w:val="nil"/>
              <w:bottom w:val="single" w:sz="4" w:space="0" w:color="auto"/>
              <w:right w:val="single" w:sz="4" w:space="0" w:color="auto"/>
            </w:tcBorders>
            <w:shd w:val="clear" w:color="000000" w:fill="DAE9F8"/>
            <w:vAlign w:val="center"/>
            <w:hideMark/>
          </w:tcPr>
          <w:p w14:paraId="161600C3" w14:textId="77777777" w:rsidR="00C965BA" w:rsidRDefault="00C965BA">
            <w:pPr>
              <w:jc w:val="center"/>
              <w:rPr>
                <w:color w:val="000000"/>
                <w:sz w:val="22"/>
                <w:szCs w:val="22"/>
              </w:rPr>
            </w:pPr>
            <w:r>
              <w:rPr>
                <w:color w:val="000000"/>
                <w:sz w:val="22"/>
                <w:szCs w:val="22"/>
              </w:rPr>
              <w:t>7.102,01</w:t>
            </w:r>
          </w:p>
        </w:tc>
        <w:tc>
          <w:tcPr>
            <w:tcW w:w="1972" w:type="dxa"/>
            <w:tcBorders>
              <w:top w:val="nil"/>
              <w:left w:val="nil"/>
              <w:bottom w:val="single" w:sz="4" w:space="0" w:color="auto"/>
              <w:right w:val="single" w:sz="4" w:space="0" w:color="auto"/>
            </w:tcBorders>
            <w:shd w:val="clear" w:color="000000" w:fill="DAE9F8"/>
            <w:vAlign w:val="center"/>
            <w:hideMark/>
          </w:tcPr>
          <w:p w14:paraId="6527FA53" w14:textId="77777777" w:rsidR="00C965BA" w:rsidRDefault="00C965BA">
            <w:pPr>
              <w:jc w:val="center"/>
              <w:rPr>
                <w:color w:val="000000"/>
                <w:sz w:val="22"/>
                <w:szCs w:val="22"/>
              </w:rPr>
            </w:pPr>
            <w:r>
              <w:rPr>
                <w:color w:val="000000"/>
                <w:sz w:val="22"/>
                <w:szCs w:val="22"/>
              </w:rPr>
              <w:t>Rasim Dević</w:t>
            </w:r>
          </w:p>
        </w:tc>
      </w:tr>
      <w:tr w:rsidR="00C965BA" w14:paraId="4AA3B374" w14:textId="77777777" w:rsidTr="00C965BA">
        <w:trPr>
          <w:trHeight w:val="912"/>
        </w:trPr>
        <w:tc>
          <w:tcPr>
            <w:tcW w:w="925" w:type="dxa"/>
            <w:tcBorders>
              <w:top w:val="nil"/>
              <w:left w:val="single" w:sz="4" w:space="0" w:color="auto"/>
              <w:bottom w:val="single" w:sz="4" w:space="0" w:color="auto"/>
              <w:right w:val="single" w:sz="4" w:space="0" w:color="auto"/>
            </w:tcBorders>
            <w:shd w:val="clear" w:color="000000" w:fill="FFFFFF"/>
            <w:vAlign w:val="center"/>
            <w:hideMark/>
          </w:tcPr>
          <w:p w14:paraId="2E833F07" w14:textId="77777777" w:rsidR="00C965BA" w:rsidRDefault="00C965BA">
            <w:pPr>
              <w:jc w:val="center"/>
              <w:rPr>
                <w:color w:val="000000"/>
                <w:sz w:val="22"/>
                <w:szCs w:val="22"/>
              </w:rPr>
            </w:pPr>
            <w:r>
              <w:rPr>
                <w:color w:val="000000"/>
                <w:sz w:val="22"/>
                <w:szCs w:val="22"/>
              </w:rPr>
              <w:t>4.</w:t>
            </w:r>
          </w:p>
        </w:tc>
        <w:tc>
          <w:tcPr>
            <w:tcW w:w="2736" w:type="dxa"/>
            <w:tcBorders>
              <w:top w:val="nil"/>
              <w:left w:val="nil"/>
              <w:bottom w:val="single" w:sz="4" w:space="0" w:color="auto"/>
              <w:right w:val="single" w:sz="4" w:space="0" w:color="auto"/>
            </w:tcBorders>
            <w:shd w:val="clear" w:color="000000" w:fill="FFFFFF"/>
            <w:vAlign w:val="center"/>
            <w:hideMark/>
          </w:tcPr>
          <w:p w14:paraId="7C15B719" w14:textId="77777777" w:rsidR="00C965BA" w:rsidRPr="00C965BA" w:rsidRDefault="00C965BA">
            <w:pPr>
              <w:jc w:val="center"/>
              <w:rPr>
                <w:color w:val="000000"/>
                <w:sz w:val="22"/>
                <w:szCs w:val="22"/>
                <w:lang w:val="pl-PL"/>
              </w:rPr>
            </w:pPr>
            <w:r w:rsidRPr="00C965BA">
              <w:rPr>
                <w:color w:val="000000"/>
                <w:sz w:val="22"/>
                <w:szCs w:val="22"/>
                <w:lang w:val="pl-PL"/>
              </w:rPr>
              <w:t>kč.br. 614/18, zk. ul. 1007, oznaka garažnog mjesta 71, etaža - 2(E-70)</w:t>
            </w:r>
          </w:p>
        </w:tc>
        <w:tc>
          <w:tcPr>
            <w:tcW w:w="1894" w:type="dxa"/>
            <w:tcBorders>
              <w:top w:val="nil"/>
              <w:left w:val="nil"/>
              <w:bottom w:val="single" w:sz="4" w:space="0" w:color="auto"/>
              <w:right w:val="single" w:sz="4" w:space="0" w:color="auto"/>
            </w:tcBorders>
            <w:shd w:val="clear" w:color="000000" w:fill="FFFFFF"/>
            <w:vAlign w:val="center"/>
            <w:hideMark/>
          </w:tcPr>
          <w:p w14:paraId="681E25D4" w14:textId="77777777" w:rsidR="00C965BA" w:rsidRDefault="00C965BA">
            <w:pPr>
              <w:jc w:val="center"/>
              <w:rPr>
                <w:color w:val="000000"/>
                <w:sz w:val="22"/>
                <w:szCs w:val="22"/>
              </w:rPr>
            </w:pPr>
            <w:r>
              <w:rPr>
                <w:color w:val="000000"/>
                <w:sz w:val="22"/>
                <w:szCs w:val="22"/>
              </w:rPr>
              <w:t>2.826,21</w:t>
            </w:r>
          </w:p>
        </w:tc>
        <w:tc>
          <w:tcPr>
            <w:tcW w:w="1394" w:type="dxa"/>
            <w:tcBorders>
              <w:top w:val="nil"/>
              <w:left w:val="nil"/>
              <w:bottom w:val="single" w:sz="4" w:space="0" w:color="auto"/>
              <w:right w:val="single" w:sz="4" w:space="0" w:color="auto"/>
            </w:tcBorders>
            <w:shd w:val="clear" w:color="000000" w:fill="FFFFFF"/>
            <w:vAlign w:val="center"/>
            <w:hideMark/>
          </w:tcPr>
          <w:p w14:paraId="679E17A5" w14:textId="77777777" w:rsidR="00C965BA" w:rsidRDefault="00C965BA">
            <w:pPr>
              <w:jc w:val="center"/>
              <w:rPr>
                <w:color w:val="000000"/>
                <w:sz w:val="22"/>
                <w:szCs w:val="22"/>
              </w:rPr>
            </w:pPr>
            <w:r>
              <w:rPr>
                <w:color w:val="000000"/>
                <w:sz w:val="22"/>
                <w:szCs w:val="22"/>
              </w:rPr>
              <w:t>8.000,00</w:t>
            </w:r>
          </w:p>
        </w:tc>
        <w:tc>
          <w:tcPr>
            <w:tcW w:w="1972" w:type="dxa"/>
            <w:tcBorders>
              <w:top w:val="nil"/>
              <w:left w:val="nil"/>
              <w:bottom w:val="single" w:sz="4" w:space="0" w:color="auto"/>
              <w:right w:val="single" w:sz="4" w:space="0" w:color="auto"/>
            </w:tcBorders>
            <w:shd w:val="clear" w:color="000000" w:fill="FFFFFF"/>
            <w:vAlign w:val="center"/>
            <w:hideMark/>
          </w:tcPr>
          <w:p w14:paraId="36FE08C8" w14:textId="77777777" w:rsidR="00C965BA" w:rsidRDefault="00C965BA">
            <w:pPr>
              <w:jc w:val="center"/>
              <w:rPr>
                <w:color w:val="000000"/>
                <w:sz w:val="22"/>
                <w:szCs w:val="22"/>
              </w:rPr>
            </w:pPr>
            <w:r>
              <w:rPr>
                <w:color w:val="000000"/>
                <w:sz w:val="22"/>
                <w:szCs w:val="22"/>
              </w:rPr>
              <w:t>Robert Ovinčević</w:t>
            </w:r>
          </w:p>
        </w:tc>
      </w:tr>
      <w:tr w:rsidR="00C965BA" w14:paraId="4040B40F" w14:textId="77777777" w:rsidTr="00C965BA">
        <w:trPr>
          <w:trHeight w:val="862"/>
        </w:trPr>
        <w:tc>
          <w:tcPr>
            <w:tcW w:w="925" w:type="dxa"/>
            <w:tcBorders>
              <w:top w:val="nil"/>
              <w:left w:val="single" w:sz="4" w:space="0" w:color="auto"/>
              <w:bottom w:val="single" w:sz="4" w:space="0" w:color="auto"/>
              <w:right w:val="single" w:sz="4" w:space="0" w:color="auto"/>
            </w:tcBorders>
            <w:shd w:val="clear" w:color="000000" w:fill="DAE9F8"/>
            <w:vAlign w:val="center"/>
            <w:hideMark/>
          </w:tcPr>
          <w:p w14:paraId="052837F8" w14:textId="77777777" w:rsidR="00C965BA" w:rsidRDefault="00C965BA">
            <w:pPr>
              <w:jc w:val="center"/>
              <w:rPr>
                <w:color w:val="000000"/>
                <w:sz w:val="22"/>
                <w:szCs w:val="22"/>
              </w:rPr>
            </w:pPr>
            <w:r>
              <w:rPr>
                <w:color w:val="000000"/>
                <w:sz w:val="22"/>
                <w:szCs w:val="22"/>
              </w:rPr>
              <w:t>5.</w:t>
            </w:r>
          </w:p>
        </w:tc>
        <w:tc>
          <w:tcPr>
            <w:tcW w:w="2736" w:type="dxa"/>
            <w:tcBorders>
              <w:top w:val="nil"/>
              <w:left w:val="nil"/>
              <w:bottom w:val="single" w:sz="4" w:space="0" w:color="auto"/>
              <w:right w:val="single" w:sz="4" w:space="0" w:color="auto"/>
            </w:tcBorders>
            <w:shd w:val="clear" w:color="000000" w:fill="DAE9F8"/>
            <w:vAlign w:val="center"/>
            <w:hideMark/>
          </w:tcPr>
          <w:p w14:paraId="72F7DBDD" w14:textId="77777777" w:rsidR="00C965BA" w:rsidRPr="00C965BA" w:rsidRDefault="00C965BA">
            <w:pPr>
              <w:jc w:val="center"/>
              <w:rPr>
                <w:color w:val="000000"/>
                <w:sz w:val="22"/>
                <w:szCs w:val="22"/>
                <w:lang w:val="pl-PL"/>
              </w:rPr>
            </w:pPr>
            <w:r w:rsidRPr="00C965BA">
              <w:rPr>
                <w:color w:val="000000"/>
                <w:sz w:val="22"/>
                <w:szCs w:val="22"/>
                <w:lang w:val="pl-PL"/>
              </w:rPr>
              <w:t>kč.br.  614/18, zk. ul. 1007, oznaka garažnog mjesta 73,  etaža - 2(E-72)</w:t>
            </w:r>
          </w:p>
        </w:tc>
        <w:tc>
          <w:tcPr>
            <w:tcW w:w="1894" w:type="dxa"/>
            <w:tcBorders>
              <w:top w:val="nil"/>
              <w:left w:val="nil"/>
              <w:bottom w:val="single" w:sz="4" w:space="0" w:color="auto"/>
              <w:right w:val="single" w:sz="4" w:space="0" w:color="auto"/>
            </w:tcBorders>
            <w:shd w:val="clear" w:color="000000" w:fill="DAE9F8"/>
            <w:vAlign w:val="center"/>
            <w:hideMark/>
          </w:tcPr>
          <w:p w14:paraId="29BAA506" w14:textId="77777777" w:rsidR="00C965BA" w:rsidRDefault="00C965BA">
            <w:pPr>
              <w:jc w:val="center"/>
              <w:rPr>
                <w:color w:val="000000"/>
                <w:sz w:val="22"/>
                <w:szCs w:val="22"/>
              </w:rPr>
            </w:pPr>
            <w:r>
              <w:rPr>
                <w:color w:val="000000"/>
                <w:sz w:val="22"/>
                <w:szCs w:val="22"/>
              </w:rPr>
              <w:t>2.826,21</w:t>
            </w:r>
          </w:p>
        </w:tc>
        <w:tc>
          <w:tcPr>
            <w:tcW w:w="1394" w:type="dxa"/>
            <w:tcBorders>
              <w:top w:val="nil"/>
              <w:left w:val="nil"/>
              <w:bottom w:val="single" w:sz="4" w:space="0" w:color="auto"/>
              <w:right w:val="single" w:sz="4" w:space="0" w:color="auto"/>
            </w:tcBorders>
            <w:shd w:val="clear" w:color="000000" w:fill="DAE9F8"/>
            <w:vAlign w:val="center"/>
            <w:hideMark/>
          </w:tcPr>
          <w:p w14:paraId="785994D8" w14:textId="77777777" w:rsidR="00C965BA" w:rsidRDefault="00C965BA">
            <w:pPr>
              <w:jc w:val="center"/>
              <w:rPr>
                <w:color w:val="000000"/>
                <w:sz w:val="22"/>
                <w:szCs w:val="22"/>
              </w:rPr>
            </w:pPr>
            <w:r>
              <w:rPr>
                <w:color w:val="000000"/>
                <w:sz w:val="22"/>
                <w:szCs w:val="22"/>
              </w:rPr>
              <w:t>8.500,00</w:t>
            </w:r>
          </w:p>
        </w:tc>
        <w:tc>
          <w:tcPr>
            <w:tcW w:w="1972" w:type="dxa"/>
            <w:tcBorders>
              <w:top w:val="nil"/>
              <w:left w:val="nil"/>
              <w:bottom w:val="single" w:sz="4" w:space="0" w:color="auto"/>
              <w:right w:val="single" w:sz="4" w:space="0" w:color="auto"/>
            </w:tcBorders>
            <w:shd w:val="clear" w:color="000000" w:fill="DAE9F8"/>
            <w:vAlign w:val="center"/>
            <w:hideMark/>
          </w:tcPr>
          <w:p w14:paraId="1FB00F1E" w14:textId="77777777" w:rsidR="00C965BA" w:rsidRDefault="00C965BA">
            <w:pPr>
              <w:jc w:val="center"/>
              <w:rPr>
                <w:color w:val="000000"/>
                <w:sz w:val="22"/>
                <w:szCs w:val="22"/>
              </w:rPr>
            </w:pPr>
            <w:r>
              <w:rPr>
                <w:color w:val="000000"/>
                <w:sz w:val="22"/>
                <w:szCs w:val="22"/>
              </w:rPr>
              <w:t>Tomislav Kaznačić</w:t>
            </w:r>
          </w:p>
        </w:tc>
      </w:tr>
    </w:tbl>
    <w:p w14:paraId="168BC892" w14:textId="77777777" w:rsidR="00CD1A82" w:rsidRDefault="00CD1A82" w:rsidP="0085578C">
      <w:pPr>
        <w:jc w:val="both"/>
        <w:rPr>
          <w:lang w:val="hr-HR"/>
        </w:rPr>
      </w:pPr>
    </w:p>
    <w:p w14:paraId="71C6AD21" w14:textId="4BB915F2" w:rsidR="0085578C" w:rsidRDefault="0085578C" w:rsidP="0085578C">
      <w:pPr>
        <w:jc w:val="both"/>
        <w:rPr>
          <w:lang w:val="hr-HR"/>
        </w:rPr>
      </w:pPr>
      <w:r w:rsidRPr="00CD1A82">
        <w:rPr>
          <w:lang w:val="hr-HR"/>
        </w:rPr>
        <w:t xml:space="preserve">Sukladno </w:t>
      </w:r>
      <w:r w:rsidR="00562D3F" w:rsidRPr="00CD1A82">
        <w:rPr>
          <w:lang w:val="hr-HR"/>
        </w:rPr>
        <w:t xml:space="preserve">3. Odluke o prodaji garažnih mjesta u vlasništvu Republike Hrvatske kojima upravlja Ministarstvo hrvatskih branitelja, </w:t>
      </w:r>
      <w:r w:rsidRPr="00CD1A82">
        <w:rPr>
          <w:lang w:val="hr-HR"/>
        </w:rPr>
        <w:t>svi podnositelji zahtjeva imaju pravo prigovora na utvrđen</w:t>
      </w:r>
      <w:r w:rsidR="00562D3F" w:rsidRPr="00CD1A82">
        <w:rPr>
          <w:lang w:val="hr-HR"/>
        </w:rPr>
        <w:t>i prijedlog prodaje garažnih mjesta</w:t>
      </w:r>
      <w:r w:rsidRPr="00CD1A82">
        <w:rPr>
          <w:lang w:val="hr-HR"/>
        </w:rPr>
        <w:t>.</w:t>
      </w:r>
    </w:p>
    <w:p w14:paraId="10A7B63E" w14:textId="77777777" w:rsidR="00905F76" w:rsidRDefault="00905F76" w:rsidP="0085578C">
      <w:pPr>
        <w:jc w:val="both"/>
        <w:rPr>
          <w:lang w:val="hr-HR"/>
        </w:rPr>
      </w:pPr>
    </w:p>
    <w:p w14:paraId="6792DD99" w14:textId="7702CCA7" w:rsidR="00905F76" w:rsidRPr="00EC3B5A" w:rsidRDefault="00905F76" w:rsidP="0085578C">
      <w:pPr>
        <w:jc w:val="both"/>
        <w:rPr>
          <w:color w:val="000000" w:themeColor="text1"/>
          <w:lang w:val="hr-HR"/>
        </w:rPr>
      </w:pPr>
      <w:r w:rsidRPr="00EC3B5A">
        <w:rPr>
          <w:color w:val="000000" w:themeColor="text1"/>
          <w:lang w:val="hr-HR"/>
        </w:rPr>
        <w:t>Svi ponuditelji koji su sudjelovali na javnom nadmetanju zaprimili su Obavijest o prijedlogu Povjerenstva za prodaju garažnog mjesta na email.</w:t>
      </w:r>
    </w:p>
    <w:p w14:paraId="6DECACD8" w14:textId="77777777" w:rsidR="0085578C" w:rsidRPr="00CD1A82" w:rsidRDefault="0085578C" w:rsidP="0085578C">
      <w:pPr>
        <w:jc w:val="both"/>
        <w:rPr>
          <w:lang w:val="hr-HR"/>
        </w:rPr>
      </w:pPr>
    </w:p>
    <w:p w14:paraId="2BAFBD00" w14:textId="28D98105" w:rsidR="0085578C" w:rsidRPr="00CD1A82" w:rsidRDefault="0085578C" w:rsidP="0085578C">
      <w:pPr>
        <w:jc w:val="both"/>
        <w:rPr>
          <w:b/>
          <w:lang w:val="hr-HR"/>
        </w:rPr>
      </w:pPr>
      <w:r w:rsidRPr="00CD1A82">
        <w:rPr>
          <w:b/>
          <w:lang w:val="hr-HR"/>
        </w:rPr>
        <w:t xml:space="preserve">Prigovor se podnosi Povjerenstvu APN-a u roku od 8 dana od dana objavljivanja </w:t>
      </w:r>
      <w:r w:rsidR="00437C82" w:rsidRPr="00957945">
        <w:rPr>
          <w:b/>
          <w:color w:val="000000" w:themeColor="text1"/>
          <w:lang w:val="hr-HR"/>
        </w:rPr>
        <w:t>24. rujna 2026. godine</w:t>
      </w:r>
      <w:r w:rsidR="00562D3F" w:rsidRPr="00957945">
        <w:rPr>
          <w:b/>
          <w:color w:val="000000" w:themeColor="text1"/>
          <w:lang w:val="hr-HR"/>
        </w:rPr>
        <w:t xml:space="preserve"> utvrđenog </w:t>
      </w:r>
      <w:r w:rsidR="00562D3F" w:rsidRPr="00CD1A82">
        <w:rPr>
          <w:b/>
          <w:lang w:val="hr-HR"/>
        </w:rPr>
        <w:t>prijedloga prodaje garažnih mjesta na internetskim stranicama</w:t>
      </w:r>
      <w:r w:rsidRPr="00CD1A82">
        <w:rPr>
          <w:b/>
          <w:lang w:val="hr-HR"/>
        </w:rPr>
        <w:t xml:space="preserve"> APN-a</w:t>
      </w:r>
      <w:r w:rsidR="00562D3F" w:rsidRPr="00CD1A82">
        <w:rPr>
          <w:b/>
          <w:lang w:val="hr-HR"/>
        </w:rPr>
        <w:t xml:space="preserve"> i Ministarstva hrvatskih branitelja</w:t>
      </w:r>
      <w:r w:rsidRPr="00CD1A82">
        <w:rPr>
          <w:b/>
          <w:lang w:val="hr-HR"/>
        </w:rPr>
        <w:t xml:space="preserve"> </w:t>
      </w:r>
      <w:r w:rsidR="00B22F80">
        <w:rPr>
          <w:b/>
          <w:lang w:val="hr-HR"/>
        </w:rPr>
        <w:t xml:space="preserve">do </w:t>
      </w:r>
      <w:r w:rsidR="0034596C" w:rsidRPr="00957945">
        <w:rPr>
          <w:b/>
          <w:color w:val="000000" w:themeColor="text1"/>
          <w:lang w:val="hr-HR"/>
        </w:rPr>
        <w:t>2. listopada 2026. godine</w:t>
      </w:r>
      <w:r w:rsidRPr="00957945">
        <w:rPr>
          <w:b/>
          <w:color w:val="000000" w:themeColor="text1"/>
          <w:lang w:val="hr-HR"/>
        </w:rPr>
        <w:t xml:space="preserve">, a </w:t>
      </w:r>
      <w:r w:rsidRPr="00CD1A82">
        <w:rPr>
          <w:b/>
          <w:lang w:val="hr-HR"/>
        </w:rPr>
        <w:t xml:space="preserve">o osnovanosti prigovora odlučuje </w:t>
      </w:r>
      <w:r w:rsidR="00562D3F" w:rsidRPr="00CD1A82">
        <w:rPr>
          <w:b/>
          <w:lang w:val="hr-HR"/>
        </w:rPr>
        <w:t>ravnatelj</w:t>
      </w:r>
      <w:r w:rsidRPr="00CD1A82">
        <w:rPr>
          <w:b/>
          <w:lang w:val="hr-HR"/>
        </w:rPr>
        <w:t xml:space="preserve"> APN-a.</w:t>
      </w:r>
    </w:p>
    <w:p w14:paraId="49C63A1A" w14:textId="77777777" w:rsidR="00562D3F" w:rsidRPr="00CD1A82" w:rsidRDefault="00562D3F" w:rsidP="0085578C">
      <w:pPr>
        <w:jc w:val="both"/>
        <w:rPr>
          <w:lang w:val="hr-HR"/>
        </w:rPr>
      </w:pPr>
    </w:p>
    <w:p w14:paraId="48AB6175" w14:textId="7817AF6F" w:rsidR="0085578C" w:rsidRPr="00CD1A82" w:rsidRDefault="0085578C" w:rsidP="007B2D8D">
      <w:pPr>
        <w:jc w:val="both"/>
        <w:rPr>
          <w:lang w:val="hr-HR"/>
        </w:rPr>
      </w:pPr>
      <w:r w:rsidRPr="00CD1A82">
        <w:rPr>
          <w:lang w:val="hr-HR"/>
        </w:rPr>
        <w:t xml:space="preserve">Prigovor se podnosi </w:t>
      </w:r>
      <w:r w:rsidRPr="00CD1A82">
        <w:rPr>
          <w:b/>
          <w:bCs/>
          <w:lang w:val="hr-HR"/>
        </w:rPr>
        <w:t>pisanim</w:t>
      </w:r>
      <w:r w:rsidRPr="00CD1A82">
        <w:rPr>
          <w:lang w:val="hr-HR"/>
        </w:rPr>
        <w:t xml:space="preserve"> putem i dostavlja putem pošte ili osobno na adresu APN, Savska cesta 41/VI, Zagreb.</w:t>
      </w:r>
    </w:p>
    <w:sectPr w:rsidR="0085578C" w:rsidRPr="00CD1A82" w:rsidSect="00741B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CB5"/>
    <w:multiLevelType w:val="hybridMultilevel"/>
    <w:tmpl w:val="BC02166E"/>
    <w:lvl w:ilvl="0" w:tplc="586818C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6505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9AA"/>
    <w:rsid w:val="00034789"/>
    <w:rsid w:val="000501B1"/>
    <w:rsid w:val="0012152E"/>
    <w:rsid w:val="001F41D0"/>
    <w:rsid w:val="002A26B9"/>
    <w:rsid w:val="0034596C"/>
    <w:rsid w:val="003A67ED"/>
    <w:rsid w:val="003D0E6E"/>
    <w:rsid w:val="00422ACE"/>
    <w:rsid w:val="00424625"/>
    <w:rsid w:val="00437C82"/>
    <w:rsid w:val="00562D3F"/>
    <w:rsid w:val="00582857"/>
    <w:rsid w:val="00601092"/>
    <w:rsid w:val="006A0F9B"/>
    <w:rsid w:val="006B705F"/>
    <w:rsid w:val="00741B0C"/>
    <w:rsid w:val="007B2D8D"/>
    <w:rsid w:val="00836BDE"/>
    <w:rsid w:val="0085578C"/>
    <w:rsid w:val="00892248"/>
    <w:rsid w:val="00905F76"/>
    <w:rsid w:val="00957945"/>
    <w:rsid w:val="00A60A69"/>
    <w:rsid w:val="00A765E9"/>
    <w:rsid w:val="00A82C0F"/>
    <w:rsid w:val="00B22F80"/>
    <w:rsid w:val="00BC465B"/>
    <w:rsid w:val="00BF7BDE"/>
    <w:rsid w:val="00C87AD0"/>
    <w:rsid w:val="00C965BA"/>
    <w:rsid w:val="00CD1A82"/>
    <w:rsid w:val="00D767FA"/>
    <w:rsid w:val="00D849AA"/>
    <w:rsid w:val="00DE34F2"/>
    <w:rsid w:val="00E12FE2"/>
    <w:rsid w:val="00EC3B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DD7F"/>
  <w15:chartTrackingRefBased/>
  <w15:docId w15:val="{3FA56F7A-3E54-4E32-B757-17DC8354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9AA"/>
    <w:pPr>
      <w:spacing w:after="0" w:line="240" w:lineRule="auto"/>
    </w:pPr>
    <w:rPr>
      <w:rFonts w:ascii="Times New Roman" w:eastAsia="Times New Roman" w:hAnsi="Times New Roman" w:cs="Times New Roman"/>
      <w:kern w:val="0"/>
      <w:sz w:val="24"/>
      <w:szCs w:val="24"/>
      <w:lang w:val="en-GB"/>
      <w14:ligatures w14:val="none"/>
    </w:rPr>
  </w:style>
  <w:style w:type="paragraph" w:styleId="Naslov1">
    <w:name w:val="heading 1"/>
    <w:basedOn w:val="Normal"/>
    <w:next w:val="Normal"/>
    <w:link w:val="Naslov1Char"/>
    <w:uiPriority w:val="9"/>
    <w:qFormat/>
    <w:rsid w:val="00D849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849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849A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849A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849A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849AA"/>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849AA"/>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849AA"/>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849AA"/>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849A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849A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849A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849A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849A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849A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849A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849A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849AA"/>
    <w:rPr>
      <w:rFonts w:eastAsiaTheme="majorEastAsia" w:cstheme="majorBidi"/>
      <w:color w:val="272727" w:themeColor="text1" w:themeTint="D8"/>
    </w:rPr>
  </w:style>
  <w:style w:type="paragraph" w:styleId="Naslov">
    <w:name w:val="Title"/>
    <w:basedOn w:val="Normal"/>
    <w:next w:val="Normal"/>
    <w:link w:val="NaslovChar"/>
    <w:uiPriority w:val="10"/>
    <w:qFormat/>
    <w:rsid w:val="00D849AA"/>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849A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849A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849A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849AA"/>
    <w:pPr>
      <w:spacing w:before="160"/>
      <w:jc w:val="center"/>
    </w:pPr>
    <w:rPr>
      <w:i/>
      <w:iCs/>
      <w:color w:val="404040" w:themeColor="text1" w:themeTint="BF"/>
    </w:rPr>
  </w:style>
  <w:style w:type="character" w:customStyle="1" w:styleId="CitatChar">
    <w:name w:val="Citat Char"/>
    <w:basedOn w:val="Zadanifontodlomka"/>
    <w:link w:val="Citat"/>
    <w:uiPriority w:val="29"/>
    <w:rsid w:val="00D849AA"/>
    <w:rPr>
      <w:i/>
      <w:iCs/>
      <w:color w:val="404040" w:themeColor="text1" w:themeTint="BF"/>
    </w:rPr>
  </w:style>
  <w:style w:type="paragraph" w:styleId="Odlomakpopisa">
    <w:name w:val="List Paragraph"/>
    <w:basedOn w:val="Normal"/>
    <w:uiPriority w:val="34"/>
    <w:qFormat/>
    <w:rsid w:val="00D849AA"/>
    <w:pPr>
      <w:ind w:left="720"/>
      <w:contextualSpacing/>
    </w:pPr>
  </w:style>
  <w:style w:type="character" w:styleId="Jakoisticanje">
    <w:name w:val="Intense Emphasis"/>
    <w:basedOn w:val="Zadanifontodlomka"/>
    <w:uiPriority w:val="21"/>
    <w:qFormat/>
    <w:rsid w:val="00D849AA"/>
    <w:rPr>
      <w:i/>
      <w:iCs/>
      <w:color w:val="2F5496" w:themeColor="accent1" w:themeShade="BF"/>
    </w:rPr>
  </w:style>
  <w:style w:type="paragraph" w:styleId="Naglaencitat">
    <w:name w:val="Intense Quote"/>
    <w:basedOn w:val="Normal"/>
    <w:next w:val="Normal"/>
    <w:link w:val="NaglaencitatChar"/>
    <w:uiPriority w:val="30"/>
    <w:qFormat/>
    <w:rsid w:val="00D849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849AA"/>
    <w:rPr>
      <w:i/>
      <w:iCs/>
      <w:color w:val="2F5496" w:themeColor="accent1" w:themeShade="BF"/>
    </w:rPr>
  </w:style>
  <w:style w:type="character" w:styleId="Istaknutareferenca">
    <w:name w:val="Intense Reference"/>
    <w:basedOn w:val="Zadanifontodlomka"/>
    <w:uiPriority w:val="32"/>
    <w:qFormat/>
    <w:rsid w:val="00D849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Željko Punda</dc:creator>
  <cp:keywords/>
  <dc:description/>
  <cp:lastModifiedBy>Marta Vargek</cp:lastModifiedBy>
  <cp:revision>25</cp:revision>
  <cp:lastPrinted>2025-05-27T08:06:00Z</cp:lastPrinted>
  <dcterms:created xsi:type="dcterms:W3CDTF">2025-05-27T08:01:00Z</dcterms:created>
  <dcterms:modified xsi:type="dcterms:W3CDTF">2026-09-23T12:55:00Z</dcterms:modified>
</cp:coreProperties>
</file>